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-380999</wp:posOffset>
                </wp:positionV>
                <wp:extent cx="923925" cy="3711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599168"/>
                          <a:ext cx="914400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แบบฟอร์มที่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-380999</wp:posOffset>
                </wp:positionV>
                <wp:extent cx="923925" cy="3711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71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ข้อเสนอโครงการพลิกโฉมระบบอุดมศึกษาของประเทศไทย (Reinventing University)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2565</w:t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165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คำชี้แจง :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แบบฟอร์มนี้ประกอบด้วย 2 ส่วน ได้แก่   ส่วนที่ 1 : ข้อมูลพื้นฐาน  และ ส่วนที่ 2 : แผนการผลักดันมหาวิทยาลัย  ซึ่งมีวัตถุประสงค์ให้สถาบันอุดมศึกษาแสดงข้อมูลพื้นฐาน จุดเด่นและความเชี่ยวชาญของสถาบันอุดมศึกษา และแผนการพลิกโฉมสถาบันอุดมศึกษา ที่แสดงถึงความสามารถและศักยภาพของสถาบันอุดมศึกษาที่สอดคล้องกับ           ความประสงค์ในการเลือกกลุ่มยุทธศาสตร์ที่ต้องการ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 xml:space="preserve">ผู้ประสานงานของมหาวิทยาลัย :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 - นามสกุล :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ตำแหน่ง :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โทรศัพท์/มือถือ : 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อีเมล์ :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shd w:fill="dbdbdb" w:val="clear"/>
          </w:tcPr>
          <w:p w:rsidR="00000000" w:rsidDel="00000000" w:rsidP="00000000" w:rsidRDefault="00000000" w:rsidRPr="00000000" w14:paraId="0000000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ส่วนที่ 1: ข้อมูลพื้นฐาน  (7 ข้อ)</w:t>
            </w:r>
          </w:p>
        </w:tc>
      </w:tr>
    </w:tbl>
    <w:p w:rsidR="00000000" w:rsidDel="00000000" w:rsidP="00000000" w:rsidRDefault="00000000" w:rsidRPr="00000000" w14:paraId="0000000C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ชื่อสถาบันอุดมศึกษา : </w:t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ประเภทสถาบัน :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(โปรดเลือก)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สถาบันอุดมศึกษาในสังกัดของรัฐ  โดยคาดว่า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(    )  ยังคงสถานะเดิมภายใน 6 ปี (พ.ศ. 2565 - 2570)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(    )  อยู่ระหว่างศึกษาเตรียมการ จัดทำ และรับฟังความคิดเห็น หรือพิจารณา ร่าง พ.ร.บ.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2" w:right="0" w:firstLine="588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สถาบันอุดมศึกษาในกำกับ โดยคาดว่าจะเปลี่ยนสถานะภายในปี พ.ศ. ....  (โปรดระบุ)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(    )  อยู่ระหว่างพิจารณาการปรับเปลี่ยนในรูปแบบอื่น ๆ (โปรดระบุ)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</w:t>
        <w:tab/>
        <w:t xml:space="preserve">        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สถาบันอุดมศึกษาในกำกับของรัฐ </w:t>
      </w:r>
    </w:p>
    <w:p w:rsidR="00000000" w:rsidDel="00000000" w:rsidP="00000000" w:rsidRDefault="00000000" w:rsidRPr="00000000" w14:paraId="00000017">
      <w:pPr>
        <w:spacing w:after="0" w:lineRule="auto"/>
        <w:ind w:left="426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426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สถานที่หรือพื้นที่ตั้ง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75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สถานที่/พื้นที่หลัก :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375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วิทยาเขต :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วิสัยทัศน์ :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66" w:firstLine="0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พันธกิจ :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66" w:firstLine="0"/>
        <w:rPr>
          <w:rFonts w:ascii="Sarabun" w:cs="Sarabun" w:eastAsia="Sarabun" w:hAnsi="Sarabun"/>
          <w:b w:val="1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โครงสร้างองค์กร 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-แผนผังโครงสร้างองค์กร-</w:t>
      </w:r>
    </w:p>
    <w:p w:rsidR="00000000" w:rsidDel="00000000" w:rsidP="00000000" w:rsidRDefault="00000000" w:rsidRPr="00000000" w14:paraId="00000026">
      <w:pPr>
        <w:spacing w:after="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firstLine="72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 xml:space="preserve">หมายเหตุ : 1. ตั้งแต่ระดับสภามหาวิทยาลัย อธิการบดี คณะหรือเทียบเท่า ถึงระดับกองหรือเทียบเท่า</w:t>
      </w:r>
    </w:p>
    <w:p w:rsidR="00000000" w:rsidDel="00000000" w:rsidP="00000000" w:rsidRDefault="00000000" w:rsidRPr="00000000" w14:paraId="00000029">
      <w:pPr>
        <w:spacing w:after="0" w:lineRule="auto"/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Fonts w:ascii="Sarabun" w:cs="Sarabun" w:eastAsia="Sarabun" w:hAnsi="Sarabun"/>
          <w:sz w:val="28"/>
          <w:szCs w:val="28"/>
          <w:rtl w:val="0"/>
        </w:rPr>
        <w:tab/>
        <w:t xml:space="preserve">   2. ให้ทำเครื่องหมาย * ท้ายชื่อหน่วยงานที่เป็นส่วนงานภายใน หากเป็นส่วนราชการไม่ต้องทำเครื่องหมาย</w:t>
      </w:r>
    </w:p>
    <w:p w:rsidR="00000000" w:rsidDel="00000000" w:rsidP="00000000" w:rsidRDefault="00000000" w:rsidRPr="00000000" w14:paraId="0000002A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Rule="auto"/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โครงสร้างการบริหารงาน :</w:t>
      </w:r>
    </w:p>
    <w:p w:rsidR="00000000" w:rsidDel="00000000" w:rsidP="00000000" w:rsidRDefault="00000000" w:rsidRPr="00000000" w14:paraId="0000002D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- แผนผังโครงสร้างการบริหารงาน –</w:t>
      </w:r>
    </w:p>
    <w:p w:rsidR="00000000" w:rsidDel="00000000" w:rsidP="00000000" w:rsidRDefault="00000000" w:rsidRPr="00000000" w14:paraId="0000002F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shd w:fill="dbdbdb" w:val="clear"/>
          </w:tcPr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ส่วนที่ 2: แผนการผลักดันมหาวิทยาลัย (3 ข้อ)</w:t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ความประสงค์ในการเลือกกลุ่มยุทธศาสตร์ (กรุณาเลือก 1 ข้อ)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กลุ่มที่มุ่งยุทธศาสตร์ด้านการพัฒนาการวิจัยระดับแนวหน้าของโลก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(Global &amp; frontier Research Strategic intent University)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กลุ่มที่มุ่งยุทธศาสตร์ด้านการพัฒนาเทคโนโลยีและส่งเสริมการสร้างนวัตกรรม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(Technology and Innovation Strategic intent University)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กลุ่มที่มุ่งยุทธศาสตร์ด้านการพัฒนาชุมชนเชิงพื้นที่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(Area based &amp; Community Strategic intent University)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จุดเด่นหรือความเชี่ยวชาญของสถาบันอุดมศึกษา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hanging="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ด้านการเรียนการสอน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(เรียงลำดับความสำคัญของจุดเด่นหรือความเชี่ยวชาญ โดยลำดับ 1 สำคัญที่สุด)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สถานะปัจจุบัน (ปีงบประมาณ พ.ศ.2563 - 2564)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ข้อมูลเชิงประจักษ์ที่แสดงจุดเด่น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หลัง Reinvent (ปีงบประมาณ พ.ศ.2570)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ข้อมูลเชิงประจักษ์ที่สะท้อนความสำเร็จ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hanging="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ด้านการวิจัย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(เรียงลำดับความสำคัญของจุดเด่นหรือความเชี่ยวชาญ โดยลำดับ 1 สำคัญที่สุด)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360" w:firstLine="0"/>
        <w:rPr>
          <w:rFonts w:ascii="Sarabun" w:cs="Sarabun" w:eastAsia="Sarabun" w:hAnsi="Sarabu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สถานะปัจจุบัน (ปีงบประมาณ พ.ศ.2563 - 2564)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ข้อมูลเชิงประจักษ์ที่แสดงจุดเด่น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หลัง Reinvent (ปีงบประมาณ พ.ศ.2570)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ข้อมูลเชิงประจักษ์ที่สะท้อนความสำเร็จ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hanging="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ด้านการบริการวิชาการ (เรียงลำดับความสำคัญของจุดเด่นหรือความเชี่ยวชาญ โดยลำดับ 1 สำคัญที่สุด)</w:t>
      </w:r>
    </w:p>
    <w:p w:rsidR="00000000" w:rsidDel="00000000" w:rsidP="00000000" w:rsidRDefault="00000000" w:rsidRPr="00000000" w14:paraId="00000072">
      <w:pPr>
        <w:spacing w:after="0" w:lineRule="auto"/>
        <w:ind w:left="360" w:firstLine="0"/>
        <w:rPr>
          <w:rFonts w:ascii="Sarabun" w:cs="Sarabun" w:eastAsia="Sarabun" w:hAnsi="Sarabu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สถานะปัจจุบัน (ปีงบประมาณ พ.ศ.2563 - 2564)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ข้อมูลเชิงประจักษ์ที่แสดงจุดเด่น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7D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หลัง Reinvent (ปีงบประมาณ พ.ศ.2570)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ข้อมูลเชิงประจักษ์ที่สะท้อนความสำเร็จ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hanging="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ด้านการทำนุบำรุงศิลปวัฒนธรรม (เรียงลำดับความสำคัญของจุดเด่นหรือความเชี่ยวชาญ โดยลำดับ 1 สำคัญที่สุด)</w:t>
      </w:r>
    </w:p>
    <w:p w:rsidR="00000000" w:rsidDel="00000000" w:rsidP="00000000" w:rsidRDefault="00000000" w:rsidRPr="00000000" w14:paraId="00000089">
      <w:pPr>
        <w:spacing w:after="0" w:lineRule="auto"/>
        <w:ind w:left="360" w:firstLine="0"/>
        <w:rPr>
          <w:rFonts w:ascii="Sarabun" w:cs="Sarabun" w:eastAsia="Sarabun" w:hAnsi="Sarabu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สถานะปัจจุบัน (ปีงบประมาณ พ.ศ.2563 - 2564)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ข้อมูลเชิงประจักษ์ที่แสดงจุดเด่น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94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หลัง Reinvent (ปีงบประมาณ พ.ศ.2570)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ข้อมูลเชิงประจักษ์ที่สะท้อนความสำเร็จ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9F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" w:right="0" w:hanging="375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ด้านอื่น ๆ (โปรดระบุ) </w:t>
      </w:r>
    </w:p>
    <w:p w:rsidR="00000000" w:rsidDel="00000000" w:rsidP="00000000" w:rsidRDefault="00000000" w:rsidRPr="00000000" w14:paraId="000000A1">
      <w:pPr>
        <w:spacing w:after="0" w:lineRule="auto"/>
        <w:ind w:left="360" w:firstLine="0"/>
        <w:rPr>
          <w:rFonts w:ascii="Sarabun" w:cs="Sarabun" w:eastAsia="Sarabun" w:hAnsi="Sarabu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สถานะปัจจุบัน (ปีงบประมาณ พ.ศ.2563 - 2564)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ข้อมูลเชิงประจักษ์ที่แสดงจุดเด่น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AC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7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9"/>
        <w:gridCol w:w="4561"/>
        <w:tblGridChange w:id="0">
          <w:tblGrid>
            <w:gridCol w:w="4609"/>
            <w:gridCol w:w="4561"/>
          </w:tblGrid>
        </w:tblGridChange>
      </w:tblGrid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หลัง Reinvent (ปีงบประมาณ พ.ศ.2570)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ข้อมูลเชิงประจักษ์ที่สะท้อนความสำเร็จ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ind w:left="360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แผนการพลิกโฉมมหาวิทยาลัย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0.000000000002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691"/>
        <w:gridCol w:w="3686"/>
        <w:tblGridChange w:id="0">
          <w:tblGrid>
            <w:gridCol w:w="2263"/>
            <w:gridCol w:w="3691"/>
            <w:gridCol w:w="3686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หัวข้อ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ปัจจุบัน 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(ปีงบประมาณ พ.ศ.2563 – 2564)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หลัง reinvent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(ปีงบประมาณ 2570)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3.1 วิสัยทัศน์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3.2 พันธกิจ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3.3 เป้าประสงค์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3.4 ยุทธศาสตร์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3.5 อัตลักษณ์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3.6 แผนงานหรือโครงการหลักในการพัฒนามหาวิทยาลัย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3.7 พื้นที่ให้บริการ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3.8 กลไกการกำกับดูแลสถาบันอุดมศึกษา/ธรรมาภิบาล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Rule="auto"/>
        <w:ind w:left="426" w:firstLine="0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3.9 สิ่งที่จะพัฒนาให้เกิดขึ้นใหม่ ระหว่างปีงบประมาณ 2565 – 2570 (ถ้ามี)</w:t>
      </w:r>
    </w:p>
    <w:p w:rsidR="00000000" w:rsidDel="00000000" w:rsidP="00000000" w:rsidRDefault="00000000" w:rsidRPr="00000000" w14:paraId="000000EB">
      <w:pPr>
        <w:spacing w:after="0" w:lineRule="auto"/>
        <w:ind w:left="426" w:firstLine="0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64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7"/>
        <w:gridCol w:w="4737"/>
        <w:tblGridChange w:id="0">
          <w:tblGrid>
            <w:gridCol w:w="4727"/>
            <w:gridCol w:w="4737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ทรัพยากรที่ต้องใช้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F6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3.10 สิ่งที่จะขยายผลหรือต่อยอด ระหว่างปีงบประมาณ 2565 – 2570 (ถ้ามี)</w:t>
      </w:r>
    </w:p>
    <w:p w:rsidR="00000000" w:rsidDel="00000000" w:rsidP="00000000" w:rsidRDefault="00000000" w:rsidRPr="00000000" w14:paraId="000000F8">
      <w:pPr>
        <w:spacing w:after="0" w:lineRule="auto"/>
        <w:ind w:left="426" w:firstLine="0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64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7"/>
        <w:gridCol w:w="4737"/>
        <w:tblGridChange w:id="0">
          <w:tblGrid>
            <w:gridCol w:w="4727"/>
            <w:gridCol w:w="4737"/>
          </w:tblGrid>
        </w:tblGridChange>
      </w:tblGrid>
      <w:t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ทรัพยากรที่ต้องใช้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103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3.11 สิ่งที่จะลดทอนหรือกระชับการดำเนินการ ระหว่างปีงบประมาณ 2565 – 2570 (ถ้ามี)</w:t>
      </w:r>
    </w:p>
    <w:p w:rsidR="00000000" w:rsidDel="00000000" w:rsidP="00000000" w:rsidRDefault="00000000" w:rsidRPr="00000000" w14:paraId="00000105">
      <w:pPr>
        <w:spacing w:after="0" w:lineRule="auto"/>
        <w:ind w:left="426" w:firstLine="0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64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7"/>
        <w:gridCol w:w="4737"/>
        <w:tblGridChange w:id="0">
          <w:tblGrid>
            <w:gridCol w:w="4727"/>
            <w:gridCol w:w="4737"/>
          </w:tblGrid>
        </w:tblGridChange>
      </w:tblGrid>
      <w:tr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ทรัพยากรที่ต้องใช้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left="426" w:firstLine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3.12 สิ่งที่จะยกเลิกหรือยุติการดำเนินการ ระหว่างปีงบประมาณ 2565 – 2570 (ถ้ามี)</w:t>
      </w:r>
    </w:p>
    <w:p w:rsidR="00000000" w:rsidDel="00000000" w:rsidP="00000000" w:rsidRDefault="00000000" w:rsidRPr="00000000" w14:paraId="00000112">
      <w:pPr>
        <w:spacing w:after="0" w:lineRule="auto"/>
        <w:ind w:left="426" w:firstLine="0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464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7"/>
        <w:gridCol w:w="4737"/>
        <w:tblGridChange w:id="0">
          <w:tblGrid>
            <w:gridCol w:w="4727"/>
            <w:gridCol w:w="4737"/>
          </w:tblGrid>
        </w:tblGridChange>
      </w:tblGrid>
      <w:t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รายการ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ทรัพยากรที่ต้องใช้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11D">
      <w:pPr>
        <w:spacing w:after="0" w:lineRule="auto"/>
        <w:ind w:left="426" w:firstLine="0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ind w:left="426" w:firstLine="0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***************************************</w:t>
      </w:r>
    </w:p>
    <w:sectPr>
      <w:headerReference r:id="rId7" w:type="default"/>
      <w:pgSz w:h="15840" w:w="12240"/>
      <w:pgMar w:bottom="993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rdia New"/>
  <w:font w:name="Angsana New"/>
  <w:font w:name="Georgia"/>
  <w:font w:name="Sarabun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Sarabun" w:cs="Sarabun" w:eastAsia="Sarabun" w:hAnsi="Sarabu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520" w:hanging="108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600" w:hanging="144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680" w:hanging="180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01" w:hanging="375.00000000000006"/>
      </w:pPr>
      <w:rPr/>
    </w:lvl>
    <w:lvl w:ilvl="2">
      <w:start w:val="1"/>
      <w:numFmt w:val="decimal"/>
      <w:lvlText w:val="%1.%2.%3"/>
      <w:lvlJc w:val="left"/>
      <w:pPr>
        <w:ind w:left="1212" w:hanging="720"/>
      </w:pPr>
      <w:rPr/>
    </w:lvl>
    <w:lvl w:ilvl="3">
      <w:start w:val="1"/>
      <w:numFmt w:val="decimal"/>
      <w:lvlText w:val="%1.%2.%3.%4"/>
      <w:lvlJc w:val="left"/>
      <w:pPr>
        <w:ind w:left="1638" w:hanging="1080"/>
      </w:pPr>
      <w:rPr/>
    </w:lvl>
    <w:lvl w:ilvl="4">
      <w:start w:val="1"/>
      <w:numFmt w:val="decimal"/>
      <w:lvlText w:val="%1.%2.%3.%4.%5"/>
      <w:lvlJc w:val="left"/>
      <w:pPr>
        <w:ind w:left="1704" w:hanging="1080"/>
      </w:pPr>
      <w:rPr/>
    </w:lvl>
    <w:lvl w:ilvl="5">
      <w:start w:val="1"/>
      <w:numFmt w:val="decimal"/>
      <w:lvlText w:val="%1.%2.%3.%4.%5.%6"/>
      <w:lvlJc w:val="left"/>
      <w:pPr>
        <w:ind w:left="2130" w:hanging="1440"/>
      </w:pPr>
      <w:rPr/>
    </w:lvl>
    <w:lvl w:ilvl="6">
      <w:start w:val="1"/>
      <w:numFmt w:val="decimal"/>
      <w:lvlText w:val="%1.%2.%3.%4.%5.%6.%7"/>
      <w:lvlJc w:val="left"/>
      <w:pPr>
        <w:ind w:left="2196" w:hanging="1440"/>
      </w:pPr>
      <w:rPr/>
    </w:lvl>
    <w:lvl w:ilvl="7">
      <w:start w:val="1"/>
      <w:numFmt w:val="decimal"/>
      <w:lvlText w:val="%1.%2.%3.%4.%5.%6.%7.%8"/>
      <w:lvlJc w:val="left"/>
      <w:pPr>
        <w:ind w:left="2622" w:hanging="1800"/>
      </w:pPr>
      <w:rPr/>
    </w:lvl>
    <w:lvl w:ilvl="8">
      <w:start w:val="1"/>
      <w:numFmt w:val="decimal"/>
      <w:lvlText w:val="%1.%2.%3.%4.%5.%6.%7.%8.%9"/>
      <w:lvlJc w:val="left"/>
      <w:pPr>
        <w:ind w:left="2688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Cordia New" w:cs="Cordia New" w:eastAsia="Cordia New" w:hAnsi="Cordia New"/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Cordia New" w:cs="Cordia New" w:eastAsia="Cordia New" w:hAnsi="Cordia New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left="1530" w:firstLine="540"/>
      <w:jc w:val="both"/>
    </w:pPr>
    <w:rPr>
      <w:rFonts w:ascii="Angsana New" w:cs="Angsana New" w:eastAsia="Angsana New" w:hAnsi="Angsana New"/>
      <w:sz w:val="32"/>
      <w:szCs w:val="32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both"/>
    </w:pPr>
    <w:rPr>
      <w:rFonts w:ascii="Cordia New" w:cs="Cordia New" w:eastAsia="Cordia New" w:hAnsi="Cordia New"/>
      <w:b w:val="1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center"/>
    </w:pPr>
    <w:rPr>
      <w:rFonts w:ascii="Cordia New" w:cs="Cordia New" w:eastAsia="Cordia New" w:hAnsi="Cordia New"/>
      <w:sz w:val="32"/>
      <w:szCs w:val="3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ordia New" w:cs="Cordia New" w:eastAsia="Cordia New" w:hAnsi="Cordia New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